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13E2" w14:textId="0688B61A" w:rsidR="00F339F2" w:rsidRDefault="00F339F2" w:rsidP="00F3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2991BC8" w14:textId="7F9754EA" w:rsidR="00B07E2A" w:rsidRDefault="00B07E2A" w:rsidP="00F3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AC3B8DB" wp14:editId="56AB2AD7">
            <wp:extent cx="2257425" cy="361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2A35" w14:textId="710C63C1" w:rsidR="00B07E2A" w:rsidRPr="00F339F2" w:rsidRDefault="00B07E2A" w:rsidP="00F3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0085FE61" wp14:editId="715894E4">
            <wp:simplePos x="0" y="0"/>
            <wp:positionH relativeFrom="column">
              <wp:posOffset>95250</wp:posOffset>
            </wp:positionH>
            <wp:positionV relativeFrom="paragraph">
              <wp:posOffset>78105</wp:posOffset>
            </wp:positionV>
            <wp:extent cx="1047750" cy="447675"/>
            <wp:effectExtent l="0" t="0" r="0" b="9525"/>
            <wp:wrapNone/>
            <wp:docPr id="10" name="Picture 10" descr="A logo with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ogo with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B0C137" w14:textId="5A80FECD" w:rsidR="00F339F2" w:rsidRDefault="00B07E2A" w:rsidP="00B07E2A">
      <w:pPr>
        <w:ind w:left="2880" w:firstLine="720"/>
        <w:jc w:val="center"/>
        <w:rPr>
          <w:rFonts w:ascii="Calibri" w:hAnsi="Calibri" w:cs="Calibri"/>
          <w:b/>
          <w:bCs/>
          <w:color w:val="004C96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4C9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72854" wp14:editId="3DFD1D30">
                <wp:simplePos x="0" y="0"/>
                <wp:positionH relativeFrom="column">
                  <wp:posOffset>47624</wp:posOffset>
                </wp:positionH>
                <wp:positionV relativeFrom="paragraph">
                  <wp:posOffset>360045</wp:posOffset>
                </wp:positionV>
                <wp:extent cx="6600825" cy="38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43649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8.35pt" to="523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  <w:color w:val="004C96"/>
          <w:sz w:val="40"/>
          <w:szCs w:val="40"/>
        </w:rPr>
        <w:t xml:space="preserve">      Fitzroy High School</w:t>
      </w:r>
    </w:p>
    <w:p w14:paraId="3500D1FA" w14:textId="2A33FA70" w:rsidR="0053017A" w:rsidRPr="00B07E2A" w:rsidRDefault="0053017A" w:rsidP="00B07E2A">
      <w:pPr>
        <w:spacing w:before="240"/>
        <w:jc w:val="center"/>
        <w:rPr>
          <w:b/>
          <w:bCs/>
          <w:sz w:val="40"/>
          <w:szCs w:val="40"/>
        </w:rPr>
      </w:pPr>
      <w:r w:rsidRPr="00B07E2A">
        <w:rPr>
          <w:b/>
          <w:bCs/>
          <w:sz w:val="40"/>
          <w:szCs w:val="40"/>
        </w:rPr>
        <w:t>Mobile Phone Policy – Student Use</w:t>
      </w:r>
    </w:p>
    <w:p w14:paraId="13656FC6" w14:textId="62789290" w:rsidR="0053017A" w:rsidRDefault="00A016A7" w:rsidP="00E55D15">
      <w:pPr>
        <w:rPr>
          <w:b/>
          <w:bCs/>
        </w:rPr>
      </w:pPr>
      <w:bookmarkStart w:id="0" w:name="_Toc528849074"/>
      <w:r w:rsidRPr="000A140C">
        <w:rPr>
          <w:noProof/>
        </w:rPr>
        <w:drawing>
          <wp:anchor distT="0" distB="0" distL="114300" distR="114300" simplePos="0" relativeHeight="251660288" behindDoc="1" locked="0" layoutInCell="1" allowOverlap="1" wp14:anchorId="48DA96B3" wp14:editId="2074FB77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7E2A">
        <w:rPr>
          <w:rFonts w:ascii="Calibri" w:hAnsi="Calibri" w:cs="Calibri"/>
          <w:b/>
          <w:bCs/>
          <w:noProof/>
          <w:color w:val="004C9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BC47D" wp14:editId="5F24CF4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00825" cy="38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800F1" id="Straight Connector 12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55pt,.35pt" to="988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48A6CE" w14:textId="23C1F249" w:rsidR="00A016A7" w:rsidRPr="00A016A7" w:rsidRDefault="00A016A7" w:rsidP="00A016A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A016A7">
        <w:rPr>
          <w:rFonts w:ascii="Calibri" w:eastAsia="Times New Roman" w:hAnsi="Calibri" w:cs="Calibri"/>
          <w:b/>
          <w:bCs/>
          <w:smallCaps/>
          <w:color w:val="004C96"/>
          <w:kern w:val="36"/>
          <w:sz w:val="28"/>
          <w:szCs w:val="28"/>
          <w:lang w:eastAsia="en-AU"/>
        </w:rPr>
        <w:t>Help for non-English speakers</w:t>
      </w:r>
    </w:p>
    <w:p w14:paraId="2E343296" w14:textId="77777777" w:rsidR="00A016A7" w:rsidRPr="00A016A7" w:rsidRDefault="00A016A7" w:rsidP="00A0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16A7">
        <w:rPr>
          <w:rFonts w:ascii="Calibri" w:eastAsia="Times New Roman" w:hAnsi="Calibri" w:cs="Calibri"/>
          <w:color w:val="000000"/>
          <w:lang w:eastAsia="en-AU"/>
        </w:rPr>
        <w:t>If you need help to understand the information in this policy, please contact Fitzroy High School on 03 9488 1900 or Fitzroy.HS@education.vic.gov.au.</w:t>
      </w:r>
    </w:p>
    <w:p w14:paraId="32357BC9" w14:textId="1408D17C" w:rsidR="00E55D15" w:rsidRDefault="00E55D15" w:rsidP="00E55D15"/>
    <w:p w14:paraId="475FEFA5" w14:textId="77777777" w:rsidR="001A3E9A" w:rsidRDefault="001A3E9A" w:rsidP="007A3CE9">
      <w:pPr>
        <w:spacing w:before="120"/>
        <w:jc w:val="both"/>
        <w:rPr>
          <w:rFonts w:ascii="Calibri" w:hAnsi="Calibri" w:cs="Calibri"/>
          <w:b/>
          <w:bCs/>
          <w:smallCaps/>
          <w:color w:val="004C96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Purpose</w:t>
      </w:r>
    </w:p>
    <w:p w14:paraId="040E8103" w14:textId="736D68F2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0A140C" w:rsidRPr="000A140C">
        <w:rPr>
          <w:rFonts w:cstheme="minorHAnsi"/>
        </w:rPr>
        <w:t xml:space="preserve">Fitzroy High </w:t>
      </w:r>
      <w:r w:rsidRPr="000A140C">
        <w:rPr>
          <w:rFonts w:cstheme="minorHAnsi"/>
        </w:rPr>
        <w:t>School’s</w:t>
      </w:r>
      <w:r>
        <w:rPr>
          <w:rFonts w:cstheme="minorHAnsi"/>
        </w:rPr>
        <w:t xml:space="preserve"> policy requirements and expectations relating to students using mobile phones</w:t>
      </w:r>
      <w:r w:rsidR="00740519">
        <w:rPr>
          <w:rFonts w:cstheme="minorHAnsi"/>
        </w:rPr>
        <w:t xml:space="preserve">. </w:t>
      </w:r>
    </w:p>
    <w:p w14:paraId="2B57F660" w14:textId="77777777" w:rsidR="001A3E9A" w:rsidRDefault="001A3E9A" w:rsidP="007A3CE9">
      <w:pPr>
        <w:pStyle w:val="Default"/>
        <w:rPr>
          <w:rFonts w:ascii="Calibri" w:hAnsi="Calibri" w:cs="Calibri"/>
          <w:b/>
          <w:bCs/>
          <w:smallCaps/>
          <w:color w:val="004C96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Scope</w:t>
      </w:r>
    </w:p>
    <w:p w14:paraId="084A0B0A" w14:textId="1EA7EDBC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604A2ECA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6A12E7">
        <w:rPr>
          <w:rFonts w:asciiTheme="minorHAnsi" w:hAnsiTheme="minorHAnsi" w:cstheme="minorHAnsi"/>
          <w:sz w:val="22"/>
          <w:szCs w:val="22"/>
        </w:rPr>
        <w:t>Fitzroy High School</w:t>
      </w:r>
      <w:r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101AC28E" w:rsidR="007A3CE9" w:rsidRPr="006A12E7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6A12E7">
        <w:rPr>
          <w:rFonts w:asciiTheme="minorHAnsi" w:hAnsiTheme="minorHAnsi" w:cstheme="minorHAnsi"/>
          <w:sz w:val="22"/>
          <w:szCs w:val="22"/>
        </w:rPr>
        <w:t>Students’ personal mobile phones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10247860" w14:textId="65CAB336" w:rsidR="0016607B" w:rsidRDefault="0016607B" w:rsidP="007A3CE9">
      <w:pPr>
        <w:jc w:val="both"/>
        <w:outlineLvl w:val="1"/>
        <w:rPr>
          <w:rFonts w:ascii="Calibri" w:hAnsi="Calibri" w:cs="Calibri"/>
          <w:b/>
          <w:bCs/>
          <w:smallCaps/>
          <w:color w:val="004C96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Definitions</w:t>
      </w:r>
    </w:p>
    <w:p w14:paraId="47062E50" w14:textId="5427A652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44079D45" w14:textId="77777777" w:rsidR="0016607B" w:rsidRDefault="0016607B" w:rsidP="007A3CE9">
      <w:pPr>
        <w:jc w:val="both"/>
        <w:rPr>
          <w:rFonts w:ascii="Calibri" w:hAnsi="Calibri" w:cs="Calibri"/>
          <w:b/>
          <w:bCs/>
          <w:smallCaps/>
          <w:color w:val="004C96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Policy</w:t>
      </w:r>
    </w:p>
    <w:p w14:paraId="4F68FF01" w14:textId="7EA967FF" w:rsidR="007A3CE9" w:rsidRPr="006A12E7" w:rsidRDefault="006A12E7" w:rsidP="007A3CE9">
      <w:pPr>
        <w:jc w:val="both"/>
        <w:rPr>
          <w:rFonts w:cstheme="minorHAnsi"/>
        </w:rPr>
      </w:pPr>
      <w:r w:rsidRPr="006A12E7">
        <w:rPr>
          <w:rFonts w:cstheme="minorHAnsi"/>
        </w:rPr>
        <w:t>Fitzroy High School</w:t>
      </w:r>
      <w:r w:rsidR="007A3CE9" w:rsidRPr="006A12E7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6EF7C167" w:rsidR="007A3CE9" w:rsidRPr="006A12E7" w:rsidRDefault="007A3CE9" w:rsidP="007A3CE9">
      <w:pPr>
        <w:jc w:val="both"/>
        <w:rPr>
          <w:rFonts w:cstheme="minorHAnsi"/>
        </w:rPr>
      </w:pPr>
      <w:r w:rsidRPr="006A12E7">
        <w:rPr>
          <w:rFonts w:cstheme="minorHAnsi"/>
        </w:rPr>
        <w:t xml:space="preserve">At </w:t>
      </w:r>
      <w:r w:rsidR="006A12E7" w:rsidRPr="006A12E7">
        <w:rPr>
          <w:rFonts w:cstheme="minorHAnsi"/>
        </w:rPr>
        <w:t>Fitzroy High</w:t>
      </w:r>
      <w:r w:rsidRPr="006A12E7">
        <w:rPr>
          <w:rFonts w:cstheme="minorHAnsi"/>
        </w:rPr>
        <w:t xml:space="preserve"> School:</w:t>
      </w:r>
    </w:p>
    <w:p w14:paraId="7BBD30D8" w14:textId="571A3823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must have them switched off and securely stored </w:t>
      </w:r>
      <w:r w:rsidR="006A12E7">
        <w:rPr>
          <w:rFonts w:cstheme="minorHAnsi"/>
        </w:rPr>
        <w:t xml:space="preserve">in their lockers </w:t>
      </w:r>
      <w:r>
        <w:rPr>
          <w:rFonts w:cstheme="minorHAnsi"/>
        </w:rPr>
        <w:t xml:space="preserve">during school </w:t>
      </w:r>
      <w:r w:rsidR="002922C8">
        <w:rPr>
          <w:rFonts w:cstheme="minorHAnsi"/>
        </w:rPr>
        <w:t>hours.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5994CD1B" w:rsidR="007A3CE9" w:rsidRDefault="007A3CE9" w:rsidP="007A3CE9">
      <w:pPr>
        <w:jc w:val="both"/>
      </w:pPr>
      <w:r>
        <w:t xml:space="preserve">In accordance with the Department’s </w:t>
      </w:r>
      <w:hyperlink r:id="rId15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6A12E7">
        <w:t>Fitzroy High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2ECEB359" w14:textId="77777777" w:rsidR="00701908" w:rsidRDefault="00701908" w:rsidP="00135067">
      <w:pPr>
        <w:jc w:val="both"/>
        <w:rPr>
          <w:b/>
          <w:sz w:val="24"/>
          <w:szCs w:val="24"/>
        </w:rPr>
      </w:pPr>
    </w:p>
    <w:p w14:paraId="18D61197" w14:textId="3F6207B6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Secure storage</w:t>
      </w:r>
    </w:p>
    <w:p w14:paraId="676D7B8F" w14:textId="4AC33C31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6A12E7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6A12E7">
        <w:rPr>
          <w:rFonts w:asciiTheme="minorHAnsi" w:hAnsiTheme="minorHAnsi" w:cstheme="minorHAnsi"/>
          <w:sz w:val="22"/>
          <w:szCs w:val="22"/>
        </w:rPr>
        <w:t xml:space="preserve">Fitzroy High School </w:t>
      </w:r>
      <w:r>
        <w:rPr>
          <w:rFonts w:asciiTheme="minorHAnsi" w:hAnsiTheme="minorHAnsi" w:cstheme="minorHAnsi"/>
          <w:sz w:val="22"/>
          <w:szCs w:val="22"/>
        </w:rPr>
        <w:t xml:space="preserve">are considered valuable items and are brought to school at the owner’s (student’s or parent/carer’s) risk.  </w:t>
      </w:r>
      <w:r w:rsidRPr="006A12E7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6A12E7" w:rsidRPr="006A12E7">
        <w:rPr>
          <w:rFonts w:asciiTheme="minorHAnsi" w:hAnsiTheme="minorHAnsi" w:cstheme="minorHAnsi"/>
          <w:sz w:val="22"/>
          <w:szCs w:val="22"/>
        </w:rPr>
        <w:t xml:space="preserve">Fitzroy High </w:t>
      </w:r>
      <w:r w:rsidRPr="006A12E7">
        <w:rPr>
          <w:rFonts w:asciiTheme="minorHAnsi" w:hAnsiTheme="minorHAnsi" w:cstheme="minorHAnsi"/>
          <w:sz w:val="22"/>
          <w:szCs w:val="22"/>
        </w:rPr>
        <w:t>School does not have accident insurance for accidental property damage</w:t>
      </w:r>
      <w:r w:rsidR="00074E00" w:rsidRPr="006A12E7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6A12E7">
        <w:rPr>
          <w:rFonts w:asciiTheme="minorHAnsi" w:hAnsiTheme="minorHAnsi" w:cstheme="minorHAnsi"/>
          <w:sz w:val="22"/>
          <w:szCs w:val="22"/>
        </w:rPr>
        <w:t>. Students and</w:t>
      </w:r>
      <w:r>
        <w:rPr>
          <w:rFonts w:asciiTheme="minorHAnsi" w:hAnsiTheme="minorHAnsi" w:cstheme="minorHAnsi"/>
          <w:sz w:val="22"/>
          <w:szCs w:val="22"/>
        </w:rPr>
        <w:t xml:space="preserve"> their parents/carers are encouraged to obtain appropriate insurance for valuable items.  Refer to </w:t>
      </w:r>
      <w:r w:rsidR="000A140C">
        <w:rPr>
          <w:rFonts w:asciiTheme="minorHAnsi" w:hAnsiTheme="minorHAnsi" w:cstheme="minorHAnsi"/>
          <w:sz w:val="22"/>
          <w:szCs w:val="22"/>
        </w:rPr>
        <w:t xml:space="preserve">Fitzroy High School </w:t>
      </w:r>
      <w:r w:rsidRPr="000A140C">
        <w:rPr>
          <w:rFonts w:asciiTheme="minorHAnsi" w:hAnsiTheme="minorHAnsi" w:cstheme="minorHAnsi"/>
          <w:sz w:val="22"/>
          <w:szCs w:val="22"/>
        </w:rPr>
        <w:t xml:space="preserve"> School’s Personal Property Policy AND/OR the Department’s </w:t>
      </w:r>
      <w:hyperlink r:id="rId16" w:history="1">
        <w:r w:rsidR="009D39F1" w:rsidRPr="000A140C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0A140C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0A140C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  <w:r w:rsidR="001C13E9" w:rsidRPr="000A140C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6B92C07C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0A140C">
        <w:rPr>
          <w:rFonts w:cstheme="minorHAnsi"/>
        </w:rPr>
        <w:t>Fitzroy High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0A140C" w:rsidRPr="000A140C">
        <w:rPr>
          <w:rFonts w:cstheme="minorHAnsi"/>
        </w:rPr>
        <w:t xml:space="preserve">Fitzroy High School </w:t>
      </w:r>
      <w:r w:rsidRPr="000A140C">
        <w:rPr>
          <w:rFonts w:cstheme="minorHAnsi"/>
        </w:rPr>
        <w:t>students are required to store their phones in their lockers</w:t>
      </w:r>
      <w:r w:rsidR="00447E78">
        <w:rPr>
          <w:rFonts w:cstheme="minorHAnsi"/>
        </w:rPr>
        <w:t>, which should be kept securely lo</w:t>
      </w:r>
      <w:r w:rsidR="00C20FB6">
        <w:rPr>
          <w:rFonts w:cstheme="minorHAnsi"/>
        </w:rPr>
        <w:t>cked</w:t>
      </w:r>
      <w:r w:rsidRPr="000A140C">
        <w:rPr>
          <w:rFonts w:cstheme="minorHAnsi"/>
        </w:rPr>
        <w:t xml:space="preserve"> or handed into the </w:t>
      </w:r>
      <w:bookmarkStart w:id="1" w:name="_Hlk135738799"/>
      <w:r w:rsidRPr="000A140C">
        <w:rPr>
          <w:rFonts w:cstheme="minorHAnsi"/>
        </w:rPr>
        <w:t>school administration office to be pl</w:t>
      </w:r>
      <w:r w:rsidR="00135067" w:rsidRPr="000A140C">
        <w:rPr>
          <w:rFonts w:cstheme="minorHAnsi"/>
        </w:rPr>
        <w:t>aced in</w:t>
      </w:r>
      <w:r w:rsidR="000A140C" w:rsidRPr="000A140C">
        <w:rPr>
          <w:rFonts w:cstheme="minorHAnsi"/>
        </w:rPr>
        <w:t xml:space="preserve"> </w:t>
      </w:r>
      <w:r w:rsidR="00135067" w:rsidRPr="000A140C">
        <w:rPr>
          <w:rFonts w:cstheme="minorHAnsi"/>
        </w:rPr>
        <w:t>a lockable cupboard</w:t>
      </w:r>
      <w:bookmarkEnd w:id="1"/>
      <w:r w:rsidR="000A140C" w:rsidRPr="000A140C">
        <w:rPr>
          <w:rFonts w:cstheme="minorHAnsi"/>
        </w:rPr>
        <w:t>.</w:t>
      </w:r>
      <w:r w:rsidR="000A140C">
        <w:rPr>
          <w:rFonts w:cstheme="minorHAnsi"/>
        </w:rPr>
        <w:t xml:space="preserve"> </w:t>
      </w:r>
      <w:r w:rsidR="00740519">
        <w:rPr>
          <w:rFonts w:cstheme="minorHAnsi"/>
        </w:rPr>
        <w:t xml:space="preserve">We enact our School value of Trust, by trusting students to keep their phone in their lockers for the school day. </w:t>
      </w:r>
    </w:p>
    <w:p w14:paraId="5F880008" w14:textId="024D7912" w:rsidR="007A3CE9" w:rsidRDefault="00EA6A6B" w:rsidP="00135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Implementation</w:t>
      </w:r>
    </w:p>
    <w:p w14:paraId="5552C37F" w14:textId="7B51EFAC" w:rsidR="00B43A01" w:rsidRPr="000A140C" w:rsidRDefault="007A3CE9" w:rsidP="007A3CE9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 w:rsidR="000A140C" w:rsidRPr="000A140C">
        <w:rPr>
          <w:rFonts w:cstheme="minorHAnsi"/>
        </w:rPr>
        <w:t>Fitzroy High School</w:t>
      </w:r>
      <w:r w:rsidRPr="000A140C">
        <w:rPr>
          <w:rFonts w:cstheme="minorHAnsi"/>
        </w:rPr>
        <w:t xml:space="preserve"> school may be issued with consequences consistent with our school’s existing student engagement polices </w:t>
      </w:r>
      <w:r w:rsidRPr="000A140C">
        <w:rPr>
          <w:rFonts w:cstheme="minorHAnsi"/>
          <w:i/>
        </w:rPr>
        <w:t>Student Wellbeing and Engagement</w:t>
      </w:r>
      <w:r w:rsidRPr="000A140C">
        <w:rPr>
          <w:rFonts w:cstheme="minorHAnsi"/>
        </w:rPr>
        <w:t xml:space="preserve"> and </w:t>
      </w:r>
      <w:r w:rsidRPr="000A140C">
        <w:rPr>
          <w:rFonts w:cstheme="minorHAnsi"/>
          <w:i/>
        </w:rPr>
        <w:t xml:space="preserve">Bullying </w:t>
      </w:r>
      <w:r w:rsidR="00E227EF" w:rsidRPr="000A140C">
        <w:rPr>
          <w:rFonts w:cstheme="minorHAnsi"/>
        </w:rPr>
        <w:t>policies.</w:t>
      </w:r>
    </w:p>
    <w:p w14:paraId="3E49E1A5" w14:textId="2B338A48" w:rsidR="00B43A01" w:rsidRPr="000A140C" w:rsidRDefault="00B43A01" w:rsidP="00B43A01">
      <w:pPr>
        <w:jc w:val="both"/>
      </w:pPr>
      <w:r w:rsidRPr="000A140C">
        <w:rPr>
          <w:rFonts w:cstheme="minorHAnsi"/>
        </w:rPr>
        <w:t>At</w:t>
      </w:r>
      <w:r w:rsidRPr="000A140C">
        <w:t xml:space="preserve"> </w:t>
      </w:r>
      <w:r w:rsidR="000A140C" w:rsidRPr="000A140C">
        <w:t>Fitzroy High School</w:t>
      </w:r>
      <w:r w:rsidRPr="000A140C">
        <w:t xml:space="preserve"> inappropriate use of mobile phones is </w:t>
      </w:r>
      <w:r w:rsidRPr="000A140C">
        <w:rPr>
          <w:b/>
        </w:rPr>
        <w:t>any use during school hours</w:t>
      </w:r>
      <w:r w:rsidRPr="000A140C">
        <w:t xml:space="preserve">, </w:t>
      </w:r>
      <w:r w:rsidR="000958D8" w:rsidRPr="000A140C">
        <w:t xml:space="preserve">unless an exception has been granted, </w:t>
      </w:r>
      <w:r w:rsidRPr="000A140C">
        <w:t>and particularly use</w:t>
      </w:r>
      <w:r w:rsidR="000958D8" w:rsidRPr="000A140C">
        <w:t xml:space="preserve"> of a mobile phone:</w:t>
      </w:r>
    </w:p>
    <w:p w14:paraId="33623A01" w14:textId="77777777" w:rsidR="00B43A01" w:rsidRPr="000A140C" w:rsidRDefault="00B43A01" w:rsidP="00B43A01">
      <w:pPr>
        <w:pStyle w:val="ListParagraph"/>
        <w:numPr>
          <w:ilvl w:val="0"/>
          <w:numId w:val="5"/>
        </w:numPr>
        <w:jc w:val="both"/>
      </w:pPr>
      <w:r w:rsidRPr="000A140C">
        <w:t xml:space="preserve">in any way that disrupts the learning of others </w:t>
      </w:r>
    </w:p>
    <w:p w14:paraId="5A5801A4" w14:textId="77777777" w:rsidR="00B43A01" w:rsidRPr="000A140C" w:rsidRDefault="00B43A01" w:rsidP="00B43A01">
      <w:pPr>
        <w:pStyle w:val="ListParagraph"/>
        <w:numPr>
          <w:ilvl w:val="0"/>
          <w:numId w:val="5"/>
        </w:numPr>
        <w:jc w:val="both"/>
      </w:pPr>
      <w:r w:rsidRPr="000A140C">
        <w:t>to send inappropriate, harassing or threatening messages or phone calls</w:t>
      </w:r>
    </w:p>
    <w:p w14:paraId="7D43E324" w14:textId="77777777" w:rsidR="00B43A01" w:rsidRPr="000A140C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0A140C">
        <w:t>to engage in inappropriate social media use including cyber bullying</w:t>
      </w:r>
    </w:p>
    <w:p w14:paraId="306DD1DE" w14:textId="52F834E0" w:rsidR="00B43A01" w:rsidRPr="000A140C" w:rsidRDefault="00B43A01" w:rsidP="00B43A01">
      <w:pPr>
        <w:pStyle w:val="ListParagraph"/>
        <w:numPr>
          <w:ilvl w:val="0"/>
          <w:numId w:val="5"/>
        </w:numPr>
        <w:jc w:val="both"/>
      </w:pPr>
      <w:r w:rsidRPr="000A140C">
        <w:t xml:space="preserve">to capture video or images of people, including students, </w:t>
      </w:r>
      <w:r w:rsidR="00C84B90" w:rsidRPr="000A140C">
        <w:t>teachers,</w:t>
      </w:r>
      <w:r w:rsidRPr="000A140C">
        <w:t xml:space="preserve"> and members of the school community without their permission</w:t>
      </w:r>
    </w:p>
    <w:p w14:paraId="0018F9CF" w14:textId="77777777" w:rsidR="00B43A01" w:rsidRPr="000A140C" w:rsidRDefault="00B43A01" w:rsidP="00B43A01">
      <w:pPr>
        <w:pStyle w:val="ListParagraph"/>
        <w:numPr>
          <w:ilvl w:val="0"/>
          <w:numId w:val="5"/>
        </w:numPr>
        <w:jc w:val="both"/>
      </w:pPr>
      <w:r w:rsidRPr="000A140C">
        <w:t>to capture video or images in the school toilets, changing rooms, swimming pools and gyms</w:t>
      </w:r>
    </w:p>
    <w:p w14:paraId="59342A9A" w14:textId="77777777" w:rsidR="00B43A01" w:rsidRDefault="00B43A01" w:rsidP="00B43A01">
      <w:pPr>
        <w:pStyle w:val="ListParagraph"/>
        <w:numPr>
          <w:ilvl w:val="0"/>
          <w:numId w:val="5"/>
        </w:numPr>
        <w:jc w:val="both"/>
      </w:pPr>
      <w:r w:rsidRPr="000A140C">
        <w:t>during exams and assessments</w:t>
      </w:r>
    </w:p>
    <w:p w14:paraId="736F4C47" w14:textId="5536367B" w:rsidR="003125B8" w:rsidRPr="003125B8" w:rsidRDefault="003125B8" w:rsidP="003125B8">
      <w:pPr>
        <w:jc w:val="both"/>
        <w:rPr>
          <w:b/>
          <w:bCs/>
        </w:rPr>
      </w:pPr>
      <w:r w:rsidRPr="003125B8">
        <w:rPr>
          <w:b/>
          <w:bCs/>
        </w:rPr>
        <w:t xml:space="preserve">Procedure for mobile phone misuse: </w:t>
      </w:r>
    </w:p>
    <w:p w14:paraId="59B0C263" w14:textId="67DE5C97" w:rsidR="00C20FB6" w:rsidRPr="001927EC" w:rsidRDefault="00C20FB6" w:rsidP="003125B8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27EC">
        <w:rPr>
          <w:rFonts w:asciiTheme="minorHAnsi" w:hAnsiTheme="minorHAnsi" w:cstheme="minorHAnsi"/>
          <w:sz w:val="22"/>
          <w:szCs w:val="22"/>
        </w:rPr>
        <w:t xml:space="preserve">Students who use their phones during the school day will be asked to hand their phone </w:t>
      </w:r>
      <w:r w:rsidR="00661507">
        <w:rPr>
          <w:rFonts w:asciiTheme="minorHAnsi" w:hAnsiTheme="minorHAnsi" w:cstheme="minorHAnsi"/>
          <w:sz w:val="22"/>
          <w:szCs w:val="22"/>
        </w:rPr>
        <w:t xml:space="preserve">to the </w:t>
      </w:r>
      <w:r w:rsidRPr="001927EC">
        <w:rPr>
          <w:rFonts w:asciiTheme="minorHAnsi" w:hAnsiTheme="minorHAnsi" w:cstheme="minorHAnsi"/>
          <w:sz w:val="22"/>
          <w:szCs w:val="22"/>
        </w:rPr>
        <w:t xml:space="preserve">school administration office in </w:t>
      </w:r>
      <w:r w:rsidR="003125B8" w:rsidRPr="001927EC">
        <w:rPr>
          <w:rFonts w:asciiTheme="minorHAnsi" w:hAnsiTheme="minorHAnsi" w:cstheme="minorHAnsi"/>
          <w:sz w:val="22"/>
          <w:szCs w:val="22"/>
        </w:rPr>
        <w:t>a lockable</w:t>
      </w:r>
      <w:r w:rsidRPr="001927EC">
        <w:rPr>
          <w:rFonts w:asciiTheme="minorHAnsi" w:hAnsiTheme="minorHAnsi" w:cstheme="minorHAnsi"/>
          <w:sz w:val="22"/>
          <w:szCs w:val="22"/>
        </w:rPr>
        <w:t xml:space="preserve"> cupboard</w:t>
      </w:r>
      <w:r w:rsidR="003125B8" w:rsidRPr="001927EC">
        <w:rPr>
          <w:rFonts w:asciiTheme="minorHAnsi" w:hAnsiTheme="minorHAnsi" w:cstheme="minorHAnsi"/>
          <w:sz w:val="22"/>
          <w:szCs w:val="22"/>
        </w:rPr>
        <w:t xml:space="preserve"> until the end of the school day.</w:t>
      </w:r>
    </w:p>
    <w:p w14:paraId="31550BC2" w14:textId="28104A4D" w:rsidR="00C20FB6" w:rsidRPr="00C84B90" w:rsidRDefault="00C20FB6" w:rsidP="001927EC">
      <w:pPr>
        <w:pStyle w:val="ListParagraph"/>
        <w:numPr>
          <w:ilvl w:val="0"/>
          <w:numId w:val="28"/>
        </w:numPr>
        <w:spacing w:before="120" w:after="0" w:line="240" w:lineRule="auto"/>
        <w:jc w:val="both"/>
        <w:rPr>
          <w:rFonts w:eastAsia="Times New Roman" w:cstheme="minorHAnsi"/>
          <w:lang w:eastAsia="en-AU"/>
        </w:rPr>
      </w:pPr>
      <w:r w:rsidRPr="001927EC">
        <w:rPr>
          <w:rFonts w:cstheme="minorHAnsi"/>
        </w:rPr>
        <w:t xml:space="preserve">Students who have repeated breaches of the mobile phone policy logged on </w:t>
      </w:r>
      <w:r w:rsidR="00740519">
        <w:rPr>
          <w:rFonts w:cstheme="minorHAnsi"/>
        </w:rPr>
        <w:t>C</w:t>
      </w:r>
      <w:r w:rsidRPr="001927EC">
        <w:rPr>
          <w:rFonts w:cstheme="minorHAnsi"/>
        </w:rPr>
        <w:t xml:space="preserve">ompass will have a 1:1 meeting with their Level Leader </w:t>
      </w:r>
      <w:r w:rsidRPr="001927EC">
        <w:rPr>
          <w:rFonts w:cstheme="minorHAnsi"/>
          <w:color w:val="000000"/>
        </w:rPr>
        <w:t xml:space="preserve">with the outcome that </w:t>
      </w:r>
      <w:r w:rsidR="00661507" w:rsidRPr="001927EC">
        <w:rPr>
          <w:rFonts w:cstheme="minorHAnsi"/>
          <w:color w:val="000000"/>
        </w:rPr>
        <w:t>the</w:t>
      </w:r>
      <w:r w:rsidR="00661507">
        <w:rPr>
          <w:rFonts w:cstheme="minorHAnsi"/>
          <w:color w:val="000000"/>
        </w:rPr>
        <w:t>ir</w:t>
      </w:r>
      <w:r w:rsidRPr="001927EC">
        <w:rPr>
          <w:rFonts w:cstheme="minorHAnsi"/>
          <w:color w:val="000000"/>
        </w:rPr>
        <w:t xml:space="preserve"> phone is handed into administration </w:t>
      </w:r>
      <w:r w:rsidR="001927EC" w:rsidRPr="001927EC">
        <w:rPr>
          <w:rFonts w:cstheme="minorHAnsi"/>
          <w:color w:val="000000"/>
        </w:rPr>
        <w:t xml:space="preserve">office </w:t>
      </w:r>
      <w:r w:rsidR="001927EC" w:rsidRPr="001927EC">
        <w:rPr>
          <w:rFonts w:cstheme="minorHAnsi"/>
        </w:rPr>
        <w:t>from</w:t>
      </w:r>
      <w:r w:rsidR="003125B8" w:rsidRPr="001927EC">
        <w:rPr>
          <w:rFonts w:cstheme="minorHAnsi"/>
        </w:rPr>
        <w:t xml:space="preserve"> after that meeting for </w:t>
      </w:r>
      <w:r w:rsidR="001927EC" w:rsidRPr="001927EC">
        <w:rPr>
          <w:rFonts w:cstheme="minorHAnsi"/>
        </w:rPr>
        <w:t>one full</w:t>
      </w:r>
      <w:r w:rsidR="003125B8" w:rsidRPr="001927EC">
        <w:rPr>
          <w:rFonts w:cstheme="minorHAnsi"/>
        </w:rPr>
        <w:t xml:space="preserve"> week. </w:t>
      </w:r>
      <w:r w:rsidR="001927EC" w:rsidRPr="001927EC">
        <w:rPr>
          <w:rFonts w:cstheme="minorHAnsi"/>
        </w:rPr>
        <w:t xml:space="preserve"> </w:t>
      </w:r>
      <w:r w:rsidRPr="001927EC">
        <w:rPr>
          <w:rFonts w:eastAsia="Times New Roman" w:cstheme="minorHAnsi"/>
          <w:color w:val="000000"/>
          <w:lang w:eastAsia="en-AU"/>
        </w:rPr>
        <w:t>If a student compl</w:t>
      </w:r>
      <w:r w:rsidR="001927EC" w:rsidRPr="001927EC">
        <w:rPr>
          <w:rFonts w:eastAsia="Times New Roman" w:cstheme="minorHAnsi"/>
          <w:color w:val="000000"/>
          <w:lang w:eastAsia="en-AU"/>
        </w:rPr>
        <w:t>ies</w:t>
      </w:r>
      <w:r w:rsidRPr="001927EC">
        <w:rPr>
          <w:rFonts w:eastAsia="Times New Roman" w:cstheme="minorHAnsi"/>
          <w:color w:val="000000"/>
          <w:lang w:eastAsia="en-AU"/>
        </w:rPr>
        <w:t xml:space="preserve"> with this </w:t>
      </w:r>
      <w:r w:rsidR="003125B8" w:rsidRPr="001927EC">
        <w:rPr>
          <w:rFonts w:eastAsia="Times New Roman" w:cstheme="minorHAnsi"/>
          <w:color w:val="000000"/>
          <w:lang w:eastAsia="en-AU"/>
        </w:rPr>
        <w:t>every day</w:t>
      </w:r>
      <w:r w:rsidRPr="001927EC">
        <w:rPr>
          <w:rFonts w:eastAsia="Times New Roman" w:cstheme="minorHAnsi"/>
          <w:color w:val="000000"/>
          <w:lang w:eastAsia="en-AU"/>
        </w:rPr>
        <w:t xml:space="preserve"> for a </w:t>
      </w:r>
      <w:r w:rsidR="001927EC" w:rsidRPr="001927EC">
        <w:rPr>
          <w:rFonts w:eastAsia="Times New Roman" w:cstheme="minorHAnsi"/>
          <w:color w:val="000000"/>
          <w:lang w:eastAsia="en-AU"/>
        </w:rPr>
        <w:t>week,</w:t>
      </w:r>
      <w:r w:rsidRPr="001927EC">
        <w:rPr>
          <w:rFonts w:eastAsia="Times New Roman" w:cstheme="minorHAnsi"/>
          <w:color w:val="000000"/>
          <w:lang w:eastAsia="en-AU"/>
        </w:rPr>
        <w:t xml:space="preserve"> they will then be given back the trust to keep their phone switched off in their </w:t>
      </w:r>
      <w:r w:rsidR="003125B8" w:rsidRPr="001927EC">
        <w:rPr>
          <w:rFonts w:eastAsia="Times New Roman" w:cstheme="minorHAnsi"/>
          <w:color w:val="000000"/>
          <w:lang w:eastAsia="en-AU"/>
        </w:rPr>
        <w:t>locker. The</w:t>
      </w:r>
      <w:r w:rsidRPr="001927EC">
        <w:rPr>
          <w:rFonts w:eastAsia="Times New Roman" w:cstheme="minorHAnsi"/>
          <w:color w:val="000000"/>
          <w:lang w:eastAsia="en-AU"/>
        </w:rPr>
        <w:t xml:space="preserve"> above will </w:t>
      </w:r>
      <w:r w:rsidR="001927EC" w:rsidRPr="001927EC">
        <w:rPr>
          <w:rFonts w:eastAsia="Times New Roman" w:cstheme="minorHAnsi"/>
          <w:color w:val="000000"/>
          <w:lang w:eastAsia="en-AU"/>
        </w:rPr>
        <w:t>be repeated</w:t>
      </w:r>
      <w:r w:rsidRPr="001927EC">
        <w:rPr>
          <w:rFonts w:eastAsia="Times New Roman" w:cstheme="minorHAnsi"/>
          <w:color w:val="000000"/>
          <w:lang w:eastAsia="en-AU"/>
        </w:rPr>
        <w:t xml:space="preserve"> by the </w:t>
      </w:r>
      <w:r w:rsidR="00B5736E">
        <w:rPr>
          <w:rFonts w:eastAsia="Times New Roman" w:cstheme="minorHAnsi"/>
          <w:color w:val="000000"/>
          <w:lang w:eastAsia="en-AU"/>
        </w:rPr>
        <w:t>L</w:t>
      </w:r>
      <w:r w:rsidR="003125B8" w:rsidRPr="001927EC">
        <w:rPr>
          <w:rFonts w:eastAsia="Times New Roman" w:cstheme="minorHAnsi"/>
          <w:color w:val="000000"/>
          <w:lang w:eastAsia="en-AU"/>
        </w:rPr>
        <w:t xml:space="preserve">evel </w:t>
      </w:r>
      <w:r w:rsidR="00B5736E">
        <w:rPr>
          <w:rFonts w:eastAsia="Times New Roman" w:cstheme="minorHAnsi"/>
          <w:color w:val="000000"/>
          <w:lang w:eastAsia="en-AU"/>
        </w:rPr>
        <w:t>L</w:t>
      </w:r>
      <w:r w:rsidR="003125B8" w:rsidRPr="001927EC">
        <w:rPr>
          <w:rFonts w:eastAsia="Times New Roman" w:cstheme="minorHAnsi"/>
          <w:color w:val="000000"/>
          <w:lang w:eastAsia="en-AU"/>
        </w:rPr>
        <w:t>eader</w:t>
      </w:r>
      <w:r w:rsidRPr="001927EC">
        <w:rPr>
          <w:rFonts w:eastAsia="Times New Roman" w:cstheme="minorHAnsi"/>
          <w:color w:val="000000"/>
          <w:lang w:eastAsia="en-AU"/>
        </w:rPr>
        <w:t xml:space="preserve"> if further misuse is recorded on compass after this. </w:t>
      </w:r>
    </w:p>
    <w:p w14:paraId="7E1C915D" w14:textId="77777777" w:rsidR="00C84B90" w:rsidRPr="001927EC" w:rsidRDefault="00C84B90" w:rsidP="00C84B90">
      <w:pPr>
        <w:pStyle w:val="ListParagraph"/>
        <w:spacing w:before="120" w:after="0" w:line="240" w:lineRule="auto"/>
        <w:jc w:val="both"/>
        <w:rPr>
          <w:rFonts w:eastAsia="Times New Roman" w:cstheme="minorHAnsi"/>
          <w:lang w:eastAsia="en-AU"/>
        </w:rPr>
      </w:pPr>
    </w:p>
    <w:p w14:paraId="6AA266B8" w14:textId="1ABD0ADA" w:rsidR="00C20FB6" w:rsidRDefault="00C20FB6" w:rsidP="003125B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1927EC">
        <w:rPr>
          <w:rFonts w:eastAsia="Times New Roman" w:cstheme="minorHAnsi"/>
          <w:color w:val="000000"/>
          <w:lang w:eastAsia="en-AU"/>
        </w:rPr>
        <w:t>If a student does not comply with handing their phone into the front office a meeting will be held with parents,</w:t>
      </w:r>
      <w:r w:rsidR="001927EC" w:rsidRPr="001927EC">
        <w:rPr>
          <w:rFonts w:eastAsia="Times New Roman" w:cstheme="minorHAnsi"/>
          <w:color w:val="000000"/>
          <w:lang w:eastAsia="en-AU"/>
        </w:rPr>
        <w:t xml:space="preserve"> the</w:t>
      </w:r>
      <w:r w:rsidR="003125B8" w:rsidRPr="001927EC">
        <w:rPr>
          <w:rFonts w:eastAsia="Times New Roman" w:cstheme="minorHAnsi"/>
          <w:color w:val="000000"/>
          <w:lang w:eastAsia="en-AU"/>
        </w:rPr>
        <w:t xml:space="preserve"> Level Leader </w:t>
      </w:r>
      <w:r w:rsidRPr="001927EC">
        <w:rPr>
          <w:rFonts w:eastAsia="Times New Roman" w:cstheme="minorHAnsi"/>
          <w:color w:val="000000"/>
          <w:lang w:eastAsia="en-AU"/>
        </w:rPr>
        <w:t>and A</w:t>
      </w:r>
      <w:r w:rsidR="003125B8" w:rsidRPr="001927EC">
        <w:rPr>
          <w:rFonts w:eastAsia="Times New Roman" w:cstheme="minorHAnsi"/>
          <w:color w:val="000000"/>
          <w:lang w:eastAsia="en-AU"/>
        </w:rPr>
        <w:t>ssistant Principal/</w:t>
      </w:r>
      <w:r w:rsidRPr="001927EC">
        <w:rPr>
          <w:rFonts w:eastAsia="Times New Roman" w:cstheme="minorHAnsi"/>
          <w:color w:val="000000"/>
          <w:lang w:eastAsia="en-AU"/>
        </w:rPr>
        <w:t>Prin</w:t>
      </w:r>
      <w:r w:rsidR="003125B8" w:rsidRPr="001927EC">
        <w:rPr>
          <w:rFonts w:eastAsia="Times New Roman" w:cstheme="minorHAnsi"/>
          <w:color w:val="000000"/>
          <w:lang w:eastAsia="en-AU"/>
        </w:rPr>
        <w:t>cipal</w:t>
      </w:r>
      <w:r w:rsidRPr="001927EC">
        <w:rPr>
          <w:rFonts w:eastAsia="Times New Roman" w:cstheme="minorHAnsi"/>
          <w:color w:val="000000"/>
          <w:lang w:eastAsia="en-AU"/>
        </w:rPr>
        <w:t>. Parents may be asked to come and collect a phone in the future if necessary. </w:t>
      </w:r>
    </w:p>
    <w:p w14:paraId="0CE4AA30" w14:textId="77777777" w:rsidR="00C84B90" w:rsidRPr="00C84B90" w:rsidRDefault="00C84B90" w:rsidP="00C84B9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</w:p>
    <w:p w14:paraId="344EFEFC" w14:textId="5DF359C4" w:rsidR="00C20FB6" w:rsidRPr="001927EC" w:rsidRDefault="00C20FB6" w:rsidP="003125B8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en-AU"/>
        </w:rPr>
      </w:pPr>
      <w:r w:rsidRPr="001927EC">
        <w:rPr>
          <w:rFonts w:eastAsia="Times New Roman" w:cstheme="minorHAnsi"/>
          <w:color w:val="000000"/>
          <w:lang w:eastAsia="en-AU"/>
        </w:rPr>
        <w:t>If after this, the student does not comply with handing their phone</w:t>
      </w:r>
      <w:r w:rsidR="001927EC" w:rsidRPr="001927EC">
        <w:rPr>
          <w:rFonts w:eastAsia="Times New Roman" w:cstheme="minorHAnsi"/>
          <w:color w:val="000000"/>
          <w:lang w:eastAsia="en-AU"/>
        </w:rPr>
        <w:t xml:space="preserve"> into the administration office</w:t>
      </w:r>
      <w:r w:rsidRPr="001927EC">
        <w:rPr>
          <w:rFonts w:eastAsia="Times New Roman" w:cstheme="minorHAnsi"/>
          <w:color w:val="000000"/>
          <w:lang w:eastAsia="en-AU"/>
        </w:rPr>
        <w:t>, as a last resort, a suspension may be given for consistently failing to follow the instructions of a teacher/staff member. </w:t>
      </w:r>
    </w:p>
    <w:p w14:paraId="26D9FA2E" w14:textId="5598DDB1" w:rsidR="00C20FB6" w:rsidRPr="001927EC" w:rsidRDefault="00C20FB6" w:rsidP="003125B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lastRenderedPageBreak/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7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8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3E4C6385" w14:textId="77777777" w:rsidR="00C84B90" w:rsidRDefault="00C84B90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ABD1003" w14:textId="29019F63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6A12E7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6A12E7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6A12E7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6A12E7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6A12E7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6A12E7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6A12E7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6A12E7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6A12E7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6A12E7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2BA7740C" w14:textId="77777777" w:rsidR="00C6038E" w:rsidRDefault="00C6038E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0774ECA7" w:rsidR="00546E19" w:rsidRPr="006A12E7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6A12E7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6A12E7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546E19" w:rsidRPr="006A12E7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6A12E7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6A12E7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6A12E7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6A12E7">
              <w:rPr>
                <w:rFonts w:cstheme="minorHAnsi"/>
                <w:sz w:val="22"/>
                <w:szCs w:val="22"/>
              </w:rPr>
              <w:t>D</w:t>
            </w:r>
            <w:r w:rsidR="00546E19" w:rsidRPr="006A12E7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6A12E7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6A12E7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6A12E7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6A12E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A12E7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6A12E7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6A12E7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6A12E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A12E7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0D710BFD" w14:textId="77777777" w:rsidR="00C6038E" w:rsidRDefault="00C6038E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521BBEBC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6A12E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6A12E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6A12E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6A12E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6A12E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6A12E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6A12E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6A12E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6EFB611E" w:rsidR="007A3CE9" w:rsidRDefault="002922C8" w:rsidP="007A3CE9">
      <w:pPr>
        <w:keepNext/>
        <w:keepLines/>
        <w:spacing w:before="40" w:line="240" w:lineRule="auto"/>
        <w:jc w:val="both"/>
      </w:pPr>
      <w:r w:rsidRPr="002922C8">
        <w:t>Fitzroy High School</w:t>
      </w:r>
      <w:r w:rsidR="007A3CE9" w:rsidRPr="002922C8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1575753B" w14:textId="475267B9" w:rsidR="007A3CE9" w:rsidRDefault="00701908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Exclusions</w:t>
      </w:r>
    </w:p>
    <w:p w14:paraId="561F1D24" w14:textId="77777777" w:rsidR="007A3CE9" w:rsidRPr="000A140C" w:rsidRDefault="007A3CE9" w:rsidP="007A3CE9">
      <w:pPr>
        <w:spacing w:after="0" w:line="240" w:lineRule="auto"/>
        <w:jc w:val="both"/>
        <w:rPr>
          <w:rFonts w:cstheme="minorHAnsi"/>
        </w:rPr>
      </w:pPr>
      <w:r w:rsidRPr="000A140C">
        <w:rPr>
          <w:rFonts w:cstheme="minorHAnsi"/>
        </w:rPr>
        <w:t xml:space="preserve">This policy does not apply to </w:t>
      </w:r>
    </w:p>
    <w:p w14:paraId="627D0302" w14:textId="20869CD7" w:rsidR="000A140C" w:rsidRPr="000A140C" w:rsidRDefault="000A140C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A140C">
        <w:rPr>
          <w:rFonts w:cstheme="minorHAnsi"/>
        </w:rPr>
        <w:t xml:space="preserve">Travelling to the </w:t>
      </w:r>
      <w:proofErr w:type="spellStart"/>
      <w:r w:rsidRPr="000A140C">
        <w:rPr>
          <w:rFonts w:cstheme="minorHAnsi"/>
        </w:rPr>
        <w:t>Wurun</w:t>
      </w:r>
      <w:proofErr w:type="spellEnd"/>
      <w:r w:rsidRPr="000A140C">
        <w:rPr>
          <w:rFonts w:cstheme="minorHAnsi"/>
        </w:rPr>
        <w:t xml:space="preserve"> Senior Campus for an early VCE subject</w:t>
      </w:r>
    </w:p>
    <w:p w14:paraId="631A0EAA" w14:textId="734CC05F" w:rsidR="007A3CE9" w:rsidRPr="000A140C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A140C">
        <w:rPr>
          <w:rFonts w:cstheme="minorHAnsi"/>
        </w:rPr>
        <w:t>Out-of-school-hours events</w:t>
      </w:r>
    </w:p>
    <w:p w14:paraId="79B18DC9" w14:textId="77777777" w:rsidR="007A3CE9" w:rsidRPr="000A140C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A140C">
        <w:rPr>
          <w:rFonts w:cstheme="minorHAnsi"/>
        </w:rPr>
        <w:t>Travelling to and from school</w:t>
      </w:r>
    </w:p>
    <w:p w14:paraId="7DAB21F4" w14:textId="77777777" w:rsidR="007A3CE9" w:rsidRPr="000A140C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A140C">
        <w:rPr>
          <w:rFonts w:cstheme="minorHAnsi"/>
        </w:rPr>
        <w:t xml:space="preserve">Students undertaking workplace learning activities, </w:t>
      </w:r>
      <w:proofErr w:type="gramStart"/>
      <w:r w:rsidRPr="000A140C">
        <w:rPr>
          <w:rFonts w:cstheme="minorHAnsi"/>
        </w:rPr>
        <w:t>e.g.</w:t>
      </w:r>
      <w:proofErr w:type="gramEnd"/>
      <w:r w:rsidRPr="000A140C">
        <w:rPr>
          <w:rFonts w:cstheme="minorHAnsi"/>
        </w:rPr>
        <w:t xml:space="preserve"> work experience</w:t>
      </w:r>
    </w:p>
    <w:p w14:paraId="29429915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A140C">
        <w:rPr>
          <w:rFonts w:cstheme="minorHAnsi"/>
        </w:rPr>
        <w:t>Students who are undertaking VET</w:t>
      </w:r>
    </w:p>
    <w:p w14:paraId="25B29CEC" w14:textId="77777777" w:rsidR="00C84B90" w:rsidRDefault="00C84B90" w:rsidP="00C84B90">
      <w:pPr>
        <w:pStyle w:val="ListParagraph"/>
        <w:spacing w:after="0" w:line="240" w:lineRule="auto"/>
        <w:jc w:val="both"/>
        <w:rPr>
          <w:rFonts w:cstheme="minorHAnsi"/>
        </w:rPr>
      </w:pPr>
    </w:p>
    <w:p w14:paraId="7E3264EB" w14:textId="77777777" w:rsidR="00C84B90" w:rsidRPr="000A140C" w:rsidRDefault="00C84B90" w:rsidP="00C84B90">
      <w:pPr>
        <w:pStyle w:val="ListParagraph"/>
        <w:spacing w:after="0" w:line="240" w:lineRule="auto"/>
        <w:jc w:val="both"/>
        <w:rPr>
          <w:rFonts w:cstheme="minorHAnsi"/>
        </w:rPr>
      </w:pPr>
    </w:p>
    <w:p w14:paraId="7FA62BD7" w14:textId="77777777" w:rsidR="0016607B" w:rsidRDefault="0016607B" w:rsidP="0016607B">
      <w:pPr>
        <w:spacing w:after="0"/>
        <w:rPr>
          <w:rFonts w:ascii="Calibri" w:hAnsi="Calibri" w:cs="Calibri"/>
          <w:b/>
          <w:bCs/>
          <w:smallCaps/>
          <w:color w:val="004C96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lastRenderedPageBreak/>
        <w:t>Communication</w:t>
      </w:r>
    </w:p>
    <w:p w14:paraId="1CD11205" w14:textId="3DEB1C36" w:rsidR="00AF77B5" w:rsidRPr="002922C8" w:rsidRDefault="00AF77B5" w:rsidP="00AF77B5">
      <w:r w:rsidRPr="002922C8">
        <w:t xml:space="preserve">This policy will be communicated to our school community in the following ways: </w:t>
      </w:r>
    </w:p>
    <w:p w14:paraId="22D4C748" w14:textId="5CB2962E" w:rsidR="00AF77B5" w:rsidRPr="002922C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 xml:space="preserve">Available publicly on our school’s website </w:t>
      </w:r>
    </w:p>
    <w:p w14:paraId="599FF3D6" w14:textId="6047CADD" w:rsidR="00AF77B5" w:rsidRPr="002922C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 xml:space="preserve">Included in staff induction processes and staff </w:t>
      </w:r>
      <w:r w:rsidR="008F44BE" w:rsidRPr="002922C8">
        <w:t>training.</w:t>
      </w:r>
    </w:p>
    <w:p w14:paraId="4792F2B5" w14:textId="328D8BE9" w:rsidR="006C5D5C" w:rsidRPr="002922C8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 xml:space="preserve">Included in school </w:t>
      </w:r>
      <w:r w:rsidR="008F44BE" w:rsidRPr="002922C8">
        <w:t>newsletter.</w:t>
      </w:r>
      <w:r w:rsidRPr="002922C8">
        <w:t xml:space="preserve"> </w:t>
      </w:r>
    </w:p>
    <w:p w14:paraId="685A3341" w14:textId="52D6841C" w:rsidR="00AF77B5" w:rsidRPr="002922C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>Included in staff handbook/</w:t>
      </w:r>
      <w:r w:rsidR="00C6038E" w:rsidRPr="002922C8">
        <w:t>manual.</w:t>
      </w:r>
    </w:p>
    <w:p w14:paraId="676D2EA2" w14:textId="29943BC8" w:rsidR="00AF77B5" w:rsidRPr="002922C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>Discussed at annual staff briefings/</w:t>
      </w:r>
      <w:r w:rsidR="008F44BE" w:rsidRPr="002922C8">
        <w:t>meetings.</w:t>
      </w:r>
      <w:r w:rsidRPr="002922C8">
        <w:t xml:space="preserve"> </w:t>
      </w:r>
    </w:p>
    <w:p w14:paraId="62A2FDE0" w14:textId="0899A869" w:rsidR="00AF77B5" w:rsidRPr="002922C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 xml:space="preserve">Included in transition and enrolment </w:t>
      </w:r>
      <w:r w:rsidR="008F44BE" w:rsidRPr="002922C8">
        <w:t>packs.</w:t>
      </w:r>
    </w:p>
    <w:p w14:paraId="21F27256" w14:textId="3FD999AF" w:rsidR="00AF77B5" w:rsidRPr="002922C8" w:rsidRDefault="00AF77B5" w:rsidP="00AF77B5">
      <w:pPr>
        <w:pStyle w:val="ListParagraph"/>
        <w:numPr>
          <w:ilvl w:val="0"/>
          <w:numId w:val="24"/>
        </w:numPr>
        <w:spacing w:line="257" w:lineRule="auto"/>
        <w:jc w:val="both"/>
        <w:rPr>
          <w:rFonts w:eastAsiaTheme="minorEastAsia"/>
        </w:rPr>
      </w:pPr>
      <w:r w:rsidRPr="002922C8">
        <w:rPr>
          <w:rFonts w:eastAsiaTheme="minorEastAsia"/>
        </w:rPr>
        <w:t>Discussed at parent information nights/</w:t>
      </w:r>
      <w:r w:rsidR="008F44BE" w:rsidRPr="002922C8">
        <w:rPr>
          <w:rFonts w:eastAsiaTheme="minorEastAsia"/>
        </w:rPr>
        <w:t>sessions.</w:t>
      </w:r>
    </w:p>
    <w:p w14:paraId="4E77A3FB" w14:textId="0219BD5E" w:rsidR="00AF77B5" w:rsidRPr="002922C8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922C8">
        <w:t>Hard copy available from school administration upon request</w:t>
      </w:r>
    </w:p>
    <w:p w14:paraId="72718100" w14:textId="30D30C85" w:rsidR="0016607B" w:rsidRDefault="0016607B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Further information and resources</w:t>
      </w:r>
    </w:p>
    <w:p w14:paraId="0A26505D" w14:textId="153185B5" w:rsidR="0016607B" w:rsidRDefault="0016607B" w:rsidP="0016607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This policy is to be read in conjunction with other related school policies, procedures, and codes. These include our: </w:t>
      </w:r>
    </w:p>
    <w:p w14:paraId="11747B62" w14:textId="6EC75BDE" w:rsidR="0016607B" w:rsidRDefault="00EA6A6B" w:rsidP="0016607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hyperlink r:id="rId19" w:history="1">
        <w:r w:rsidR="0016607B" w:rsidRPr="00C6038E">
          <w:rPr>
            <w:rStyle w:val="Hyperlink"/>
            <w:rFonts w:ascii="Calibri" w:hAnsi="Calibri" w:cs="Calibri"/>
            <w:sz w:val="22"/>
            <w:szCs w:val="22"/>
          </w:rPr>
          <w:t>Child Safety Code of Conduct </w:t>
        </w:r>
      </w:hyperlink>
    </w:p>
    <w:p w14:paraId="7C82803D" w14:textId="5A771517" w:rsidR="0016607B" w:rsidRDefault="00EA6A6B" w:rsidP="0016607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hyperlink r:id="rId20" w:history="1">
        <w:r w:rsidR="0016607B" w:rsidRPr="00C6038E">
          <w:rPr>
            <w:rStyle w:val="Hyperlink"/>
            <w:rFonts w:ascii="Calibri" w:hAnsi="Calibri" w:cs="Calibri"/>
            <w:sz w:val="22"/>
            <w:szCs w:val="22"/>
          </w:rPr>
          <w:t>Digital Learning Policy </w:t>
        </w:r>
      </w:hyperlink>
    </w:p>
    <w:p w14:paraId="357E8D10" w14:textId="64A4DC2D" w:rsidR="0016607B" w:rsidRDefault="00EA6A6B" w:rsidP="0016607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hyperlink r:id="rId21" w:history="1">
        <w:r w:rsidR="0016607B" w:rsidRPr="00C6038E">
          <w:rPr>
            <w:rStyle w:val="Hyperlink"/>
            <w:rFonts w:ascii="Calibri" w:hAnsi="Calibri" w:cs="Calibri"/>
            <w:sz w:val="22"/>
            <w:szCs w:val="22"/>
          </w:rPr>
          <w:t>Acceptable Use Agreement</w:t>
        </w:r>
      </w:hyperlink>
    </w:p>
    <w:p w14:paraId="50749EE5" w14:textId="3A273F8E" w:rsidR="0016607B" w:rsidRPr="00E578A6" w:rsidRDefault="00EA6A6B" w:rsidP="0016607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hyperlink r:id="rId22" w:history="1">
        <w:r w:rsidR="0016607B" w:rsidRPr="00C6038E">
          <w:rPr>
            <w:rStyle w:val="Hyperlink"/>
            <w:rFonts w:ascii="Calibri" w:hAnsi="Calibri" w:cs="Calibri"/>
            <w:sz w:val="22"/>
            <w:szCs w:val="22"/>
          </w:rPr>
          <w:t>Student Wellbeing and Engagement Policy </w:t>
        </w:r>
      </w:hyperlink>
    </w:p>
    <w:p w14:paraId="79813F1E" w14:textId="2D8B76B0" w:rsidR="00E578A6" w:rsidRDefault="00EA6A6B" w:rsidP="00E578A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hyperlink r:id="rId23" w:history="1">
        <w:r w:rsidR="00E578A6" w:rsidRPr="00C6038E">
          <w:rPr>
            <w:rStyle w:val="Hyperlink"/>
            <w:rFonts w:ascii="Calibri" w:hAnsi="Calibri" w:cs="Calibri"/>
            <w:sz w:val="22"/>
            <w:szCs w:val="22"/>
          </w:rPr>
          <w:t>Bullying Prevention Policy </w:t>
        </w:r>
      </w:hyperlink>
    </w:p>
    <w:p w14:paraId="536F8D01" w14:textId="77777777" w:rsidR="00E578A6" w:rsidRPr="00E578A6" w:rsidRDefault="00E578A6" w:rsidP="00E578A6">
      <w:pPr>
        <w:pStyle w:val="NormalWeb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2"/>
          <w:szCs w:val="22"/>
        </w:rPr>
      </w:pPr>
    </w:p>
    <w:p w14:paraId="58810F06" w14:textId="3544522C" w:rsidR="00E578A6" w:rsidRDefault="00E578A6" w:rsidP="00E578A6">
      <w:pPr>
        <w:pStyle w:val="NormalWeb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policy should be read in conjunction with the following policies on the Department’s Policy and Advisory Library (PAL):</w:t>
      </w:r>
    </w:p>
    <w:p w14:paraId="63468598" w14:textId="7AED23A5" w:rsidR="00766B73" w:rsidRPr="00766B73" w:rsidRDefault="00EA6A6B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24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7E593C69" w14:textId="417CBB14" w:rsidR="007A3CE9" w:rsidRPr="009D39F1" w:rsidRDefault="00EA6A6B" w:rsidP="009D39F1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lang w:val="en"/>
        </w:rPr>
      </w:pPr>
      <w:hyperlink r:id="rId25" w:history="1">
        <w:r w:rsidR="009D39F1" w:rsidRPr="009D39F1">
          <w:rPr>
            <w:rStyle w:val="Hyperlink"/>
          </w:rPr>
          <w:t>Weapons — Banning, Searching and Seizing Harmful Items</w:t>
        </w:r>
      </w:hyperlink>
    </w:p>
    <w:p w14:paraId="122A8BF2" w14:textId="77F9268F" w:rsidR="007A3CE9" w:rsidRDefault="00EA6A6B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26" w:history="1"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4A9F3CAD" w14:textId="77777777" w:rsidR="0016607B" w:rsidRPr="00051703" w:rsidRDefault="0016607B" w:rsidP="0016607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3B337C86" w:rsidR="007A3CE9" w:rsidRDefault="0016607B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="Calibri" w:hAnsi="Calibri" w:cs="Calibri"/>
          <w:b/>
          <w:bCs/>
          <w:smallCaps/>
          <w:color w:val="004C96"/>
          <w:sz w:val="28"/>
          <w:szCs w:val="28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75"/>
      </w:tblGrid>
      <w:tr w:rsidR="005E230E" w:rsidRPr="005E230E" w14:paraId="0BA69DED" w14:textId="77777777" w:rsidTr="005E23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3F3BB903" w:rsidR="005E230E" w:rsidRPr="005E230E" w:rsidRDefault="0016607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April </w:t>
            </w:r>
            <w:r w:rsidR="002922C8">
              <w:rPr>
                <w:rFonts w:ascii="Calibri" w:eastAsia="Calibri" w:hAnsi="Calibri" w:cs="Calibri"/>
              </w:rPr>
              <w:t>2023</w:t>
            </w:r>
          </w:p>
        </w:tc>
      </w:tr>
      <w:tr w:rsidR="005E230E" w:rsidRPr="005E230E" w14:paraId="2A7F738A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78E" w14:textId="5C09ECE3" w:rsidR="005E230E" w:rsidRPr="005E230E" w:rsidRDefault="00B5736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Representative Team, June </w:t>
            </w:r>
            <w:proofErr w:type="gramStart"/>
            <w:r>
              <w:rPr>
                <w:rFonts w:ascii="Calibri" w:eastAsia="Calibri" w:hAnsi="Calibri" w:cs="Calibri"/>
              </w:rPr>
              <w:t>7  2023</w:t>
            </w:r>
            <w:proofErr w:type="gramEnd"/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40CE8A53" w:rsidR="005E230E" w:rsidRPr="005E230E" w:rsidRDefault="002922C8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2027</w:t>
            </w:r>
          </w:p>
        </w:tc>
      </w:tr>
    </w:tbl>
    <w:p w14:paraId="200BDDB8" w14:textId="235E95D4" w:rsidR="00A17B8D" w:rsidRDefault="00A17B8D" w:rsidP="005E230E"/>
    <w:sectPr w:rsidR="00A17B8D" w:rsidSect="00B07E2A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0E5" w14:textId="77777777" w:rsidR="00E76D8F" w:rsidRDefault="00E76D8F" w:rsidP="00850AE8">
      <w:pPr>
        <w:spacing w:after="0" w:line="240" w:lineRule="auto"/>
      </w:pPr>
      <w:r>
        <w:separator/>
      </w:r>
    </w:p>
  </w:endnote>
  <w:endnote w:type="continuationSeparator" w:id="0">
    <w:p w14:paraId="1215F1F5" w14:textId="77777777" w:rsidR="00E76D8F" w:rsidRDefault="00E76D8F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7AF6" w14:textId="77777777" w:rsidR="00E76D8F" w:rsidRDefault="00E76D8F" w:rsidP="00850AE8">
      <w:pPr>
        <w:spacing w:after="0" w:line="240" w:lineRule="auto"/>
      </w:pPr>
      <w:r>
        <w:separator/>
      </w:r>
    </w:p>
  </w:footnote>
  <w:footnote w:type="continuationSeparator" w:id="0">
    <w:p w14:paraId="3E85DF94" w14:textId="77777777" w:rsidR="00E76D8F" w:rsidRDefault="00E76D8F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154"/>
    <w:multiLevelType w:val="multilevel"/>
    <w:tmpl w:val="6F3A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D6B"/>
    <w:multiLevelType w:val="multilevel"/>
    <w:tmpl w:val="91D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132"/>
    <w:multiLevelType w:val="multilevel"/>
    <w:tmpl w:val="6F3A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3582"/>
    <w:multiLevelType w:val="multilevel"/>
    <w:tmpl w:val="DDC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22D4"/>
    <w:multiLevelType w:val="multilevel"/>
    <w:tmpl w:val="A114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433575">
    <w:abstractNumId w:val="6"/>
  </w:num>
  <w:num w:numId="2" w16cid:durableId="776950050">
    <w:abstractNumId w:val="18"/>
  </w:num>
  <w:num w:numId="3" w16cid:durableId="638341560">
    <w:abstractNumId w:val="15"/>
  </w:num>
  <w:num w:numId="4" w16cid:durableId="1529876913">
    <w:abstractNumId w:val="0"/>
  </w:num>
  <w:num w:numId="5" w16cid:durableId="1388651299">
    <w:abstractNumId w:val="13"/>
  </w:num>
  <w:num w:numId="6" w16cid:durableId="1141457157">
    <w:abstractNumId w:val="10"/>
  </w:num>
  <w:num w:numId="7" w16cid:durableId="1150248863">
    <w:abstractNumId w:val="9"/>
  </w:num>
  <w:num w:numId="8" w16cid:durableId="997806705">
    <w:abstractNumId w:val="7"/>
  </w:num>
  <w:num w:numId="9" w16cid:durableId="1619801345">
    <w:abstractNumId w:val="5"/>
  </w:num>
  <w:num w:numId="10" w16cid:durableId="1655261984">
    <w:abstractNumId w:val="16"/>
  </w:num>
  <w:num w:numId="11" w16cid:durableId="246502349">
    <w:abstractNumId w:val="17"/>
  </w:num>
  <w:num w:numId="12" w16cid:durableId="577784938">
    <w:abstractNumId w:val="12"/>
  </w:num>
  <w:num w:numId="13" w16cid:durableId="1745109284">
    <w:abstractNumId w:val="19"/>
  </w:num>
  <w:num w:numId="14" w16cid:durableId="475024801">
    <w:abstractNumId w:val="19"/>
  </w:num>
  <w:num w:numId="15" w16cid:durableId="2006279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07846">
    <w:abstractNumId w:val="0"/>
  </w:num>
  <w:num w:numId="17" w16cid:durableId="1637679293">
    <w:abstractNumId w:val="13"/>
  </w:num>
  <w:num w:numId="18" w16cid:durableId="2037148857">
    <w:abstractNumId w:val="17"/>
  </w:num>
  <w:num w:numId="19" w16cid:durableId="371151718">
    <w:abstractNumId w:val="12"/>
  </w:num>
  <w:num w:numId="20" w16cid:durableId="403339299">
    <w:abstractNumId w:val="9"/>
  </w:num>
  <w:num w:numId="21" w16cid:durableId="2068795144">
    <w:abstractNumId w:val="5"/>
  </w:num>
  <w:num w:numId="22" w16cid:durableId="1695645625">
    <w:abstractNumId w:val="4"/>
  </w:num>
  <w:num w:numId="23" w16cid:durableId="1400441147">
    <w:abstractNumId w:val="14"/>
  </w:num>
  <w:num w:numId="24" w16cid:durableId="1987005048">
    <w:abstractNumId w:val="2"/>
  </w:num>
  <w:num w:numId="25" w16cid:durableId="1847671726">
    <w:abstractNumId w:val="8"/>
  </w:num>
  <w:num w:numId="26" w16cid:durableId="714278799">
    <w:abstractNumId w:val="11"/>
  </w:num>
  <w:num w:numId="27" w16cid:durableId="877932046">
    <w:abstractNumId w:val="3"/>
  </w:num>
  <w:num w:numId="28" w16cid:durableId="941034893">
    <w:abstractNumId w:val="1"/>
  </w:num>
  <w:num w:numId="29" w16cid:durableId="13972379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A140C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6607B"/>
    <w:rsid w:val="001732A5"/>
    <w:rsid w:val="00181530"/>
    <w:rsid w:val="001927EC"/>
    <w:rsid w:val="001A3E9A"/>
    <w:rsid w:val="001C13E9"/>
    <w:rsid w:val="00210FD7"/>
    <w:rsid w:val="00224853"/>
    <w:rsid w:val="002308BC"/>
    <w:rsid w:val="002922C8"/>
    <w:rsid w:val="002F1189"/>
    <w:rsid w:val="002F4361"/>
    <w:rsid w:val="003125B8"/>
    <w:rsid w:val="00322068"/>
    <w:rsid w:val="003221D4"/>
    <w:rsid w:val="00331C2E"/>
    <w:rsid w:val="00355AA6"/>
    <w:rsid w:val="00367BE8"/>
    <w:rsid w:val="00371816"/>
    <w:rsid w:val="0037749C"/>
    <w:rsid w:val="00390741"/>
    <w:rsid w:val="003A4724"/>
    <w:rsid w:val="003A592D"/>
    <w:rsid w:val="003D2360"/>
    <w:rsid w:val="00405DE6"/>
    <w:rsid w:val="00410154"/>
    <w:rsid w:val="00410D44"/>
    <w:rsid w:val="00447E78"/>
    <w:rsid w:val="00494090"/>
    <w:rsid w:val="00497A98"/>
    <w:rsid w:val="00497AC3"/>
    <w:rsid w:val="004B6568"/>
    <w:rsid w:val="00524ACC"/>
    <w:rsid w:val="0053017A"/>
    <w:rsid w:val="005302F3"/>
    <w:rsid w:val="0054679D"/>
    <w:rsid w:val="00546E19"/>
    <w:rsid w:val="00571800"/>
    <w:rsid w:val="00584252"/>
    <w:rsid w:val="00591266"/>
    <w:rsid w:val="005C0CFA"/>
    <w:rsid w:val="005D5F55"/>
    <w:rsid w:val="005E230E"/>
    <w:rsid w:val="005F6548"/>
    <w:rsid w:val="0063325D"/>
    <w:rsid w:val="00634E59"/>
    <w:rsid w:val="0064727E"/>
    <w:rsid w:val="00661507"/>
    <w:rsid w:val="006A12E7"/>
    <w:rsid w:val="006A7B4D"/>
    <w:rsid w:val="006B0264"/>
    <w:rsid w:val="006B0C16"/>
    <w:rsid w:val="006C2F14"/>
    <w:rsid w:val="006C5D5C"/>
    <w:rsid w:val="006D4002"/>
    <w:rsid w:val="006E641E"/>
    <w:rsid w:val="00701908"/>
    <w:rsid w:val="007127AA"/>
    <w:rsid w:val="00716A08"/>
    <w:rsid w:val="00734745"/>
    <w:rsid w:val="00740519"/>
    <w:rsid w:val="007412F9"/>
    <w:rsid w:val="0075163F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8F44BE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016A7"/>
    <w:rsid w:val="00A034E2"/>
    <w:rsid w:val="00A17B8D"/>
    <w:rsid w:val="00A23A3A"/>
    <w:rsid w:val="00A26E39"/>
    <w:rsid w:val="00AE0776"/>
    <w:rsid w:val="00AE1801"/>
    <w:rsid w:val="00AF4584"/>
    <w:rsid w:val="00AF50E8"/>
    <w:rsid w:val="00AF77B5"/>
    <w:rsid w:val="00B07E2A"/>
    <w:rsid w:val="00B23C82"/>
    <w:rsid w:val="00B27240"/>
    <w:rsid w:val="00B305A7"/>
    <w:rsid w:val="00B43A01"/>
    <w:rsid w:val="00B45280"/>
    <w:rsid w:val="00B51BE8"/>
    <w:rsid w:val="00B5736E"/>
    <w:rsid w:val="00B74D4F"/>
    <w:rsid w:val="00B872E5"/>
    <w:rsid w:val="00BC2EB2"/>
    <w:rsid w:val="00C014BC"/>
    <w:rsid w:val="00C20FB6"/>
    <w:rsid w:val="00C5656B"/>
    <w:rsid w:val="00C6038E"/>
    <w:rsid w:val="00C84B90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E05087"/>
    <w:rsid w:val="00E21784"/>
    <w:rsid w:val="00E227EF"/>
    <w:rsid w:val="00E47F31"/>
    <w:rsid w:val="00E55D15"/>
    <w:rsid w:val="00E578A6"/>
    <w:rsid w:val="00E76D8F"/>
    <w:rsid w:val="00E81A51"/>
    <w:rsid w:val="00EA12CB"/>
    <w:rsid w:val="00EA464C"/>
    <w:rsid w:val="00EA6A6B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339F2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  <w:style w:type="paragraph" w:styleId="NormalWeb">
    <w:name w:val="Normal (Web)"/>
    <w:basedOn w:val="Normal"/>
    <w:uiPriority w:val="99"/>
    <w:unhideWhenUsed/>
    <w:rsid w:val="00C2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41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48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842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2.education.vic.gov.au/pal/students-using-mobile-phones/policy" TargetMode="External"/><Relationship Id="rId26" Type="http://schemas.openxmlformats.org/officeDocument/2006/relationships/hyperlink" Target="https://www2.education.vic.gov.au/pal/claims-property-damage-and-medical-expense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tzroyhs.vic.edu.au/wp-content/uploads/2022/09/Acceptable-Use-Agreement-2023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students-using-mobile-phones/policy" TargetMode="External"/><Relationship Id="rId25" Type="http://schemas.openxmlformats.org/officeDocument/2006/relationships/hyperlink" Target="https://www2.education.vic.gov.au/pal/weap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laims-property-damage-and-medical-expenses/policy" TargetMode="External"/><Relationship Id="rId20" Type="http://schemas.openxmlformats.org/officeDocument/2006/relationships/hyperlink" Target="https://fitzroyhs.vic.edu.au/wp-content/uploads/2023/06/Digital-Learning-June-202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tudents-using-mobile-phones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23" Type="http://schemas.openxmlformats.org/officeDocument/2006/relationships/hyperlink" Target="https://fitzroyhs.vic.edu.au/wp-content/uploads/2023/06/Bullying-Prevention-Policy-June-2023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fitzroyhs.vic.edu.au/wp-content/uploads/2023/06/Child-Safety-CoC-June-2023-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yperlink" Target="https://fitzroyhs.vic.edu.au/wp-content/uploads/2023/06/Student-Wellbeing-Engagement-June-2023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Madeline Bullen</cp:lastModifiedBy>
  <cp:revision>6</cp:revision>
  <cp:lastPrinted>2023-06-19T03:03:00Z</cp:lastPrinted>
  <dcterms:created xsi:type="dcterms:W3CDTF">2023-08-15T01:19:00Z</dcterms:created>
  <dcterms:modified xsi:type="dcterms:W3CDTF">2023-08-15T03:12:00Z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